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6.799454545454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2114550" cy="6477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14550" cy="6477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Lines w:val="1"/>
        <w:spacing w:after="120" w:line="240" w:lineRule="auto"/>
        <w:ind w:left="-283.46456692913387" w:right="307.937007874016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EVORA İSTANBUL 101 ADA 4 PARSEL (A PARSEL) TOPLU YAPILAR</w:t>
      </w:r>
    </w:p>
    <w:p w:rsidR="00000000" w:rsidDel="00000000" w:rsidP="00000000" w:rsidRDefault="00000000" w:rsidRPr="00000000" w14:paraId="00000003">
      <w:pPr>
        <w:keepLines w:val="1"/>
        <w:spacing w:after="120" w:line="240" w:lineRule="auto"/>
        <w:ind w:left="-283.46456692913387" w:right="307.937007874016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İLGİLİ KİŞİ BAŞVURU PROSEDÜRÜ</w:t>
      </w:r>
    </w:p>
    <w:p w:rsidR="00000000" w:rsidDel="00000000" w:rsidP="00000000" w:rsidRDefault="00000000" w:rsidRPr="00000000" w14:paraId="00000004">
      <w:pPr>
        <w:keepLines w:val="1"/>
        <w:spacing w:after="120" w:line="240" w:lineRule="auto"/>
        <w:ind w:left="-283.46456692913387" w:right="307.9370078740167"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keepLines w:val="1"/>
        <w:spacing w:after="120" w:line="240" w:lineRule="auto"/>
        <w:ind w:left="-283.46456692913387" w:right="307.93700787401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Sayın ilgili, </w:t>
      </w:r>
    </w:p>
    <w:p w:rsidR="00000000" w:rsidDel="00000000" w:rsidP="00000000" w:rsidRDefault="00000000" w:rsidRPr="00000000" w14:paraId="00000006">
      <w:pPr>
        <w:keepLines w:val="1"/>
        <w:spacing w:after="120" w:line="240" w:lineRule="auto"/>
        <w:ind w:left="-283.46456692913387" w:right="307.93700787401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ind w:left="-283.46456692913375" w:right="242.59842519685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6698 Sayılı Kişisel Verilerin Korunması Kanunu’nda (“KVKK”) ilgili kişi olarak tanımlanan kişisel veri sahiplerine (Bundan sonra “Başvuru Sahibi” olarak anılacaktır), KVKK’nın 11’inci maddesinde kişisel verilerinin işlenmesine ilişkin birtakım taleplerde bulunma hakkı tanınmıştır.</w:t>
      </w:r>
    </w:p>
    <w:p w:rsidR="00000000" w:rsidDel="00000000" w:rsidP="00000000" w:rsidRDefault="00000000" w:rsidRPr="00000000" w14:paraId="00000008">
      <w:pPr>
        <w:ind w:left="-283.46456692913375" w:right="242.598425196851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ind w:left="-283.46456692913375" w:right="242.59842519685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KVKK’nın 13’üncü maddesinin birinci fıkrası uyarınca; veri sorumlusu olan Sitemize bu haklara ilişkin olarak yapılacak başvuruların yazılı olarak ve Kişisel Verilerin Korunması Kurulu (“Kurul”) tarafından belirlenen aşağıdaki yöntemlerle iletilmesi gerekmektedir.</w:t>
      </w:r>
    </w:p>
    <w:p w:rsidR="00000000" w:rsidDel="00000000" w:rsidP="00000000" w:rsidRDefault="00000000" w:rsidRPr="00000000" w14:paraId="0000000A">
      <w:pPr>
        <w:ind w:left="-283.46456692913375" w:right="242.598425196851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ind w:left="-283.46456692913375" w:right="242.59842519685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İşbu İlgili Kişi Başvuru Prosedürü (Prosedür), Evora İstanbul 101 Ada 4 Parsel Toplu Yapılar Site Yönetimi (Sitemiz) veya Veri İşleyenleri tarafından işlenen kişisel verilere ilişkin olarak 6698 sayılı Kişisel Verilerin Korunması Kanunu’nun 11. maddesi uyarınca İlgili Kişinin bilgilendirilme talebinin Site Yönetimi’ne ulaşması halinde atılacak adımları düzenlemektedir. </w:t>
      </w:r>
    </w:p>
    <w:p w:rsidR="00000000" w:rsidDel="00000000" w:rsidP="00000000" w:rsidRDefault="00000000" w:rsidRPr="00000000" w14:paraId="0000000C">
      <w:pPr>
        <w:ind w:left="-283.46456692913375" w:right="242.5984251968515"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Saygılarımızla, </w:t>
      </w:r>
    </w:p>
    <w:p w:rsidR="00000000" w:rsidDel="00000000" w:rsidP="00000000" w:rsidRDefault="00000000" w:rsidRPr="00000000" w14:paraId="0000000D">
      <w:pPr>
        <w:keepLines w:val="1"/>
        <w:spacing w:after="120" w:line="240" w:lineRule="auto"/>
        <w:ind w:left="-283.46456692913387" w:right="307.9370078740167"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Yönetim Kurulu</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3.46456692913375" w:right="242.59842519685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İş bu prosedür,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3.46456692913375" w:right="242.59842519685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Kişisel veri işlenip işlenmediğini öğrenme,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3.46456692913375" w:right="242.59842519685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Kişisel verileri işlenmişse buna ilişkin bilgi talep etme,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3.46456692913375" w:right="242.59842519685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Kişisel verilerin işlenme amacını ve bunların amacına uygun kullanılıp kullanılmadığını öğrenme,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3.46456692913375" w:right="242.59842519685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ç) Yurt içinde veya yurt dışında kişisel verilerin aktarıldığı üçüncü kişileri bilme,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3.46456692913375" w:right="242.59842519685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Kişisel verilerin eksik veya yanlış işlenmiş olması hâlinde bunların düzeltilmesini isteme,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3.46456692913375" w:right="242.59842519685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Kanunda yer alan şartlar çerçevesinde kişisel verilerin silinmesini veya yok edilmesini isteme,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3.46456692913375" w:right="242.59842519685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(d) ve (e) bentleri uyarınca yapılan işlemlerin, kişisel verilerin aktarıldığı üçüncü kişilere bildirilmesini isteme,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3.46456692913375" w:right="242.59842519685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İşlenen verilerin münhasıran otomatik sistemler vasıtasıyla analiz edilmesi suretiyle kişinin kendisi aleyhine bir sonucun ortaya çıkmasına itiraz etme,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3.46456692913375" w:right="242.59842519685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ğ) Kişisel verilerin kanuna aykırı olarak işlenmesi sebebiyle zarara uğraması hâlinde zararın giderilmesini talep etme,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3.46456692913375" w:right="242.59842519685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Hakları konusunda uygulanacaktır.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3.46456692913375" w:right="242.59842519685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İlgili kişinin, kişisel verisiyle ilgili talebinin bizzat site yönetimine gelmesi veya yalnızca mail gönderilmesi durumunda; </w:t>
      </w:r>
      <w:r w:rsidDel="00000000" w:rsidR="00000000" w:rsidRPr="00000000">
        <w:rPr>
          <w:rFonts w:ascii="Times New Roman" w:cs="Times New Roman" w:eastAsia="Times New Roman" w:hAnsi="Times New Roman"/>
          <w:i w:val="1"/>
          <w:sz w:val="24"/>
          <w:szCs w:val="24"/>
          <w:rtl w:val="0"/>
        </w:rPr>
        <w:t xml:space="preserve">“Sayın İlgili, Sitemiz Yönetim Ofisi’nden temin edebileceğiniz veya sitemizin web sitesinde bulunan İlgili Kişi Başvuru Formu’nu doldurarak tarafımıza başvuruda bulunmanız halinde talebiniz için mevzuatına uygun işlem yapılacak ve tarafınıza bilgi verilecektir.” </w:t>
      </w:r>
      <w:r w:rsidDel="00000000" w:rsidR="00000000" w:rsidRPr="00000000">
        <w:rPr>
          <w:rFonts w:ascii="Times New Roman" w:cs="Times New Roman" w:eastAsia="Times New Roman" w:hAnsi="Times New Roman"/>
          <w:sz w:val="24"/>
          <w:szCs w:val="24"/>
          <w:rtl w:val="0"/>
        </w:rPr>
        <w:t xml:space="preserve">bilgisi paylaşılacak ve ilgili kişinin noter, e-posta ya da posta yolu ile bilgileri göndermesi istenecektir.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3.46456692913375" w:right="242.598425196851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3.46456692913375" w:right="242.59842519685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Site yönetimine iletilmiş olan başvurular, talebin niteliğine göre, talebin Sitemize ulaştığı tarihten itibaren “en kısa sürede ve en geç otuz gün içinde” etkin, hukuka ve dürüstlük kurallarına uygun bir şekilde sonuçlandırılacak ve yazılı veya elektronik ortamda cevaplanacaktır. Sitemiz tarafından başvurularla ilgili herhangi bir eksikliğin tespit edilmesi halinde, bu eksikliğin ilgili kişiye bildirilmesinden itibaren en geç yedi (7) gün içerisinde eksikliğin ilgili kişi tarafından giderilmemesi halinde, talebiniz, Sitemiz tarafından eksiklik giderilene kadar askıya alınacaktır.</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3.46456692913375" w:right="242.598425196851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3.46456692913375" w:right="242.59842519685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Talep içeriğinin açık, anlaşılır ve tarih yönünden belirlenebilir olması önemlidir. Bu nedenle İlgili Kişi Başvuru Formu ile ilgili kişiden istenen bilgi ve belgelerin, eksiksiz ve doğru bir şekilde doldurularak Sitemize yukarıdaki yollarla başvuru yapılması gerekmektedir.</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