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145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KVKK Güvenlik Kameraları Aydınlatma Metni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Aydınlatma metni, 6698 Sayılı Kişisel Verilerin Korunması Kanunu’nun 10. maddesi ile Aydınlatma Yükümlülüğünün Yerine Getirilmesinde Uyulacak Usul ve Esaslar Hakkında Tebliğ kapsamında veri sorumlusu sıfatıyla Evora İstanbul A Parsel Toplu Yapılar Yönetimi tarafından hazırlanmıştır.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Evora İstanbul A Parsel Toplu Yapı içerisinde mevcut ortak alanlar(</w:t>
      </w:r>
      <w:r w:rsidDel="00000000" w:rsidR="00000000" w:rsidRPr="00000000">
        <w:rPr>
          <w:rFonts w:ascii="Times New Roman" w:cs="Times New Roman" w:eastAsia="Times New Roman" w:hAnsi="Times New Roman"/>
          <w:rtl w:val="0"/>
        </w:rPr>
        <w:t xml:space="preserve">bahçe, otopark, bina dışları, asansörler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bina giriş çıkışları gibi), </w:t>
      </w:r>
      <w:r w:rsidDel="00000000" w:rsidR="00000000" w:rsidRPr="00000000">
        <w:rPr>
          <w:rFonts w:ascii="Times New Roman" w:cs="Times New Roman" w:eastAsia="Times New Roman" w:hAnsi="Times New Roman"/>
          <w:rtl w:val="0"/>
        </w:rPr>
        <w:t xml:space="preserve">güvenlik noktalarında, araç ve yaya giriş/çıkış noktalarında bulunan toplam 139 adet güvenlik kamerası vasıtasıyla güvenliğin sağlanması amacıyla görüntü kaydı yapılmakta ve kayıt işlemi güvenlik birimi tarafından denetlenmektedir. Siteye araçla giriş çıkış yapılan güvenlik noktalarında güvenlik amacıyla özellikle güvenlik personelinin ve ziyaretçilerin beyanlarının kayda alınması adına </w:t>
      </w:r>
      <w:r w:rsidDel="00000000" w:rsidR="00000000" w:rsidRPr="00000000">
        <w:rPr>
          <w:rFonts w:ascii="Times New Roman" w:cs="Times New Roman" w:eastAsia="Times New Roman" w:hAnsi="Times New Roman"/>
          <w:rtl w:val="0"/>
        </w:rPr>
        <w:t xml:space="preserve">ses kaydı</w:t>
      </w:r>
      <w:r w:rsidDel="00000000" w:rsidR="00000000" w:rsidRPr="00000000">
        <w:rPr>
          <w:rFonts w:ascii="Times New Roman" w:cs="Times New Roman" w:eastAsia="Times New Roman" w:hAnsi="Times New Roman"/>
          <w:rtl w:val="0"/>
        </w:rPr>
        <w:t xml:space="preserve"> da alınmaktadır.</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Söz konusu kişisel veriler, Kanunun 5. maddesinde yer alan </w:t>
      </w:r>
      <w:r w:rsidDel="00000000" w:rsidR="00000000" w:rsidRPr="00000000">
        <w:rPr>
          <w:rFonts w:ascii="Times New Roman" w:cs="Times New Roman" w:eastAsia="Times New Roman" w:hAnsi="Times New Roman"/>
          <w:i w:val="1"/>
          <w:rtl w:val="0"/>
        </w:rPr>
        <w:t xml:space="preserve">“Kanunlarda açıkça öngörülmesi” </w:t>
      </w:r>
      <w:r w:rsidDel="00000000" w:rsidR="00000000" w:rsidRPr="00000000">
        <w:rPr>
          <w:rFonts w:ascii="Times New Roman" w:cs="Times New Roman" w:eastAsia="Times New Roman" w:hAnsi="Times New Roman"/>
          <w:rtl w:val="0"/>
        </w:rPr>
        <w:t xml:space="preserve">ve “</w:t>
      </w:r>
      <w:r w:rsidDel="00000000" w:rsidR="00000000" w:rsidRPr="00000000">
        <w:rPr>
          <w:rFonts w:ascii="Times New Roman" w:cs="Times New Roman" w:eastAsia="Times New Roman" w:hAnsi="Times New Roman"/>
          <w:i w:val="1"/>
          <w:rtl w:val="0"/>
        </w:rPr>
        <w:t xml:space="preserve">Veri sorumlusunun hukuki yükümlülüğünü yerine getirebilmesi için zorunlu olması”</w:t>
      </w:r>
      <w:r w:rsidDel="00000000" w:rsidR="00000000" w:rsidRPr="00000000">
        <w:rPr>
          <w:rFonts w:ascii="Times New Roman" w:cs="Times New Roman" w:eastAsia="Times New Roman" w:hAnsi="Times New Roman"/>
          <w:rtl w:val="0"/>
        </w:rPr>
        <w:t xml:space="preserve"> ve </w:t>
      </w:r>
      <w:r w:rsidDel="00000000" w:rsidR="00000000" w:rsidRPr="00000000">
        <w:rPr>
          <w:rFonts w:ascii="Times New Roman" w:cs="Times New Roman" w:eastAsia="Times New Roman" w:hAnsi="Times New Roman"/>
          <w:i w:val="1"/>
          <w:rtl w:val="0"/>
        </w:rPr>
        <w:t xml:space="preserve">“İlgili kişinin temel hak ve özgürlüklerine zarar vermemek kaydıyla, veri sorumlusunun meşru menfaatleri için veri işlenmesinin zorunlu olması”</w:t>
      </w:r>
      <w:r w:rsidDel="00000000" w:rsidR="00000000" w:rsidRPr="00000000">
        <w:rPr>
          <w:rFonts w:ascii="Times New Roman" w:cs="Times New Roman" w:eastAsia="Times New Roman" w:hAnsi="Times New Roman"/>
          <w:rtl w:val="0"/>
        </w:rPr>
        <w:t xml:space="preserve"> hukuki sebeplerine dayanarak otomatik yolla işlenmektedir.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Söz konusu kişisel veriler hukuki uyuşmazlıkların giderilmesi veya ilgili mevzuatı gereği yazılı talep halinde adli makamlar veya ilgili kolluk kuvvetlerine aktarılabilecektir.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olarak Kanun’un 11. maddesi uyarınca aşağıdaki haklara sahip olduğunuzu bildiririz:</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Kişisel verilerinizin işlenip işlenmediğini öğrenme,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Kişisel verileriniz işlenmişse buna ilişkin bilgi talep etme,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kullanılmadığını öğrenme,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Yurt içinde veya yurt dışında kişisel verilerinizin aktarıldığı üçüncü kişileri bilme,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Kişisel verilerinizin eksik veya yanlış işlenmiş olması hâlinde bunların düzeltilmesini isteme ve bu</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kapsamda yapılan işlemin kişisel verilerinizin aktarıldığı üçüncü kişilere bildirilmesini isteme,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İşlenen verilerin münhasıran otomatik sistemler vasıtasıyla analiz edilmesi suretiyle aleyhinize bir sonucun ortaya çıkması durumunda buna itiraz etme,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Kişisel verilerinizin kanuna aykırı olarak işlenmesi sebebiyle zarara uğramanız hâlinde zararın giderilmesini talep etme.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Haklarınıza ilişkin taleplerinizi, Veri Sorumlusuna Başvuru Usul ve Esasları Hakkında Tebliğ uyarınca bulunması zorunlu hususlara yer vererek, yazılı; güvenli elektronik imza, mobil imza ya da tarafınızdan daha önce bildirilen ve sisteminde kayıtlı bulunan elektronik posta adresinizi kullanmak suretiyle sitemiz içerisinde mevcut yönetim ofisine iletebilirsiniz. Başvurunuz ücretsiz olarak yanıtlanacaktır. Ancak talep edilen işlemin ayrıca bir maliyet gerektirmesi halinde, Kişisel Verileri Koruma Kurulu tarafından belirlenen tarifedeki ücretler başvurandan talep edilecektir.</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EVORA İSTANBUL A PARSEL TOPLU YAPILAR YÖNETİMİ</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sectPr>
      <w:pgSz w:h="16834" w:w="11909" w:orient="portrait"/>
      <w:pgMar w:bottom="1440" w:top="779.5275590551181" w:left="1440" w:right="6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